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CED1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《市人力资源和社会保障局关于进一步加强武汉大学生创业学院管理工作的通知》</w:t>
      </w:r>
    </w:p>
    <w:p w14:paraId="3EDFCD0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征求</w:t>
      </w:r>
      <w:r>
        <w:rPr>
          <w:rFonts w:hint="eastAsia" w:ascii="方正小标宋_GBK" w:hAnsi="方正小标宋_GBK" w:eastAsia="方正小标宋_GBK" w:cs="方正小标宋_GBK"/>
          <w:sz w:val="44"/>
          <w:szCs w:val="44"/>
          <w:lang w:eastAsia="zh-CN"/>
        </w:rPr>
        <w:t>意见情况</w:t>
      </w:r>
    </w:p>
    <w:p w14:paraId="05F8446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p>
    <w:p w14:paraId="3EE309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方正仿宋_GBK" w:hAnsi="方正仿宋_GBK" w:eastAsia="方正仿宋_GBK" w:cs="方正仿宋_GBK"/>
          <w:color w:val="030303"/>
          <w:kern w:val="0"/>
          <w:sz w:val="32"/>
          <w:szCs w:val="32"/>
          <w:lang w:val="en-US" w:eastAsia="zh-CN" w:bidi="ar"/>
        </w:rPr>
        <w:t>2024年4月至5月，《</w:t>
      </w:r>
      <w:r>
        <w:rPr>
          <w:rFonts w:hint="eastAsia" w:ascii="仿宋_GB2312" w:hAnsi="仿宋_GB2312" w:eastAsia="仿宋_GB2312" w:cs="仿宋_GB2312"/>
          <w:kern w:val="2"/>
          <w:sz w:val="32"/>
          <w:szCs w:val="32"/>
          <w:lang w:val="en-US" w:eastAsia="zh-CN" w:bidi="ar-SA"/>
        </w:rPr>
        <w:t>市人力资源和社会保障局关于进一步加强武汉大学生创业学院管理工作的通知（征求意见稿）》，通过局门户网站面向社会公开征求意见，并定向征求了</w:t>
      </w:r>
      <w:r>
        <w:rPr>
          <w:rFonts w:hint="eastAsia" w:ascii="仿宋_GB2312" w:hAnsi="仿宋_GB2312" w:eastAsia="仿宋_GB2312" w:cs="仿宋_GB2312"/>
          <w:sz w:val="32"/>
          <w:szCs w:val="32"/>
          <w:lang w:val="en-US" w:eastAsia="zh-CN"/>
        </w:rPr>
        <w:t>团市委、市司法局、市财政局、市教育局、市科技局、市经信局、各武汉大学生创业学院</w:t>
      </w:r>
      <w:r>
        <w:rPr>
          <w:rFonts w:hint="eastAsia" w:ascii="仿宋_GB2312" w:hAnsi="仿宋_GB2312" w:eastAsia="仿宋_GB2312" w:cs="仿宋_GB2312"/>
          <w:kern w:val="2"/>
          <w:sz w:val="32"/>
          <w:szCs w:val="32"/>
          <w:lang w:val="en-US" w:eastAsia="zh-CN" w:bidi="ar-SA"/>
        </w:rPr>
        <w:t>意见，共收到反馈意见20条，其中无修改意见12条，修改意见建议8条。经研究，我局结合实际吸收了8条意见。</w:t>
      </w:r>
    </w:p>
    <w:p w14:paraId="71542B9F">
      <w:pPr>
        <w:pStyle w:val="3"/>
        <w:rPr>
          <w:rFonts w:hint="eastAsia" w:ascii="方正小标宋_GBK" w:hAnsi="方正小标宋_GBK" w:eastAsia="方正小标宋_GBK" w:cs="方正小标宋_GBK"/>
          <w:sz w:val="44"/>
          <w:szCs w:val="44"/>
          <w:lang w:eastAsia="zh-CN"/>
        </w:rPr>
        <w:sectPr>
          <w:pgSz w:w="11906" w:h="16838"/>
          <w:pgMar w:top="2098" w:right="1474" w:bottom="1984" w:left="1587" w:header="851" w:footer="992" w:gutter="0"/>
          <w:cols w:space="0" w:num="1"/>
          <w:rtlGutter w:val="0"/>
          <w:docGrid w:type="lines" w:linePitch="312" w:charSpace="0"/>
        </w:sectPr>
      </w:pPr>
    </w:p>
    <w:tbl>
      <w:tblPr>
        <w:tblStyle w:val="4"/>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998"/>
        <w:gridCol w:w="4935"/>
        <w:gridCol w:w="1275"/>
      </w:tblGrid>
      <w:tr w14:paraId="6AC1F939">
        <w:tblPrEx>
          <w:tblCellMar>
            <w:top w:w="0" w:type="dxa"/>
            <w:left w:w="108" w:type="dxa"/>
            <w:bottom w:w="0" w:type="dxa"/>
            <w:right w:w="108" w:type="dxa"/>
          </w:tblCellMar>
        </w:tblPrEx>
        <w:trPr>
          <w:trHeight w:val="1009" w:hRule="atLeast"/>
        </w:trPr>
        <w:tc>
          <w:tcPr>
            <w:tcW w:w="8904" w:type="dxa"/>
            <w:gridSpan w:val="4"/>
            <w:tcBorders>
              <w:top w:val="nil"/>
              <w:left w:val="nil"/>
              <w:bottom w:val="nil"/>
              <w:right w:val="nil"/>
            </w:tcBorders>
            <w:noWrap/>
            <w:vAlign w:val="center"/>
          </w:tcPr>
          <w:p w14:paraId="004577CA">
            <w:pPr>
              <w:keepNext w:val="0"/>
              <w:keepLines w:val="0"/>
              <w:widowControl/>
              <w:suppressLineNumbers w:val="0"/>
              <w:spacing w:line="56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征求意见采纳情况</w:t>
            </w:r>
          </w:p>
          <w:p w14:paraId="1A83AC71">
            <w:pPr>
              <w:keepNext w:val="0"/>
              <w:keepLines w:val="0"/>
              <w:widowControl/>
              <w:suppressLineNumbers w:val="0"/>
              <w:spacing w:line="56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lang w:val="en-US" w:eastAsia="zh-CN" w:bidi="ar"/>
              </w:rPr>
            </w:pPr>
          </w:p>
        </w:tc>
      </w:tr>
      <w:tr w14:paraId="1E9B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8C2ABAC">
            <w:pPr>
              <w:keepNext w:val="0"/>
              <w:keepLines w:val="0"/>
              <w:widowControl/>
              <w:suppressLineNumbers w:val="0"/>
              <w:spacing w:line="2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998" w:type="dxa"/>
            <w:tcBorders>
              <w:top w:val="single" w:color="000000" w:sz="4" w:space="0"/>
              <w:left w:val="single" w:color="000000" w:sz="4" w:space="0"/>
              <w:bottom w:val="single" w:color="000000" w:sz="4" w:space="0"/>
              <w:right w:val="single" w:color="000000" w:sz="4" w:space="0"/>
            </w:tcBorders>
            <w:noWrap/>
            <w:vAlign w:val="center"/>
          </w:tcPr>
          <w:p w14:paraId="74678DE8">
            <w:pPr>
              <w:keepNext w:val="0"/>
              <w:keepLines w:val="0"/>
              <w:widowControl/>
              <w:suppressLineNumbers w:val="0"/>
              <w:spacing w:line="2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单位名称</w:t>
            </w:r>
          </w:p>
        </w:tc>
        <w:tc>
          <w:tcPr>
            <w:tcW w:w="4935" w:type="dxa"/>
            <w:tcBorders>
              <w:top w:val="single" w:color="000000" w:sz="4" w:space="0"/>
              <w:left w:val="single" w:color="000000" w:sz="4" w:space="0"/>
              <w:bottom w:val="single" w:color="000000" w:sz="4" w:space="0"/>
              <w:right w:val="single" w:color="000000" w:sz="4" w:space="0"/>
            </w:tcBorders>
            <w:noWrap/>
            <w:vAlign w:val="center"/>
          </w:tcPr>
          <w:p w14:paraId="1C0B7722">
            <w:pPr>
              <w:keepNext w:val="0"/>
              <w:keepLines w:val="0"/>
              <w:widowControl/>
              <w:suppressLineNumbers w:val="0"/>
              <w:spacing w:line="2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反馈的意见及建议</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4C37E8C">
            <w:pPr>
              <w:keepNext w:val="0"/>
              <w:keepLines w:val="0"/>
              <w:widowControl/>
              <w:suppressLineNumbers w:val="0"/>
              <w:spacing w:line="26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意见</w:t>
            </w:r>
          </w:p>
          <w:p w14:paraId="7759ACC8">
            <w:pPr>
              <w:keepNext w:val="0"/>
              <w:keepLines w:val="0"/>
              <w:widowControl/>
              <w:suppressLineNumbers w:val="0"/>
              <w:spacing w:line="2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采纳情况</w:t>
            </w:r>
          </w:p>
        </w:tc>
      </w:tr>
      <w:tr w14:paraId="5044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696" w:type="dxa"/>
            <w:tcBorders>
              <w:top w:val="single" w:color="000000" w:sz="4" w:space="0"/>
              <w:left w:val="single" w:color="000000" w:sz="4" w:space="0"/>
              <w:bottom w:val="single" w:color="auto" w:sz="4" w:space="0"/>
              <w:right w:val="single" w:color="000000" w:sz="4" w:space="0"/>
            </w:tcBorders>
            <w:noWrap/>
            <w:vAlign w:val="center"/>
          </w:tcPr>
          <w:p w14:paraId="0CF8CD58">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998" w:type="dxa"/>
            <w:vMerge w:val="restart"/>
            <w:tcBorders>
              <w:top w:val="single" w:color="000000" w:sz="4" w:space="0"/>
              <w:left w:val="single" w:color="000000" w:sz="4" w:space="0"/>
              <w:right w:val="single" w:color="000000" w:sz="4" w:space="0"/>
            </w:tcBorders>
            <w:noWrap w:val="0"/>
            <w:vAlign w:val="center"/>
          </w:tcPr>
          <w:p w14:paraId="23E15D6F">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武汉工商学院</w:t>
            </w:r>
          </w:p>
        </w:tc>
        <w:tc>
          <w:tcPr>
            <w:tcW w:w="4935" w:type="dxa"/>
            <w:tcBorders>
              <w:top w:val="single" w:color="000000" w:sz="4" w:space="0"/>
              <w:left w:val="single" w:color="000000" w:sz="4" w:space="0"/>
              <w:bottom w:val="single" w:color="auto" w:sz="4" w:space="0"/>
              <w:right w:val="single" w:color="000000" w:sz="4" w:space="0"/>
            </w:tcBorders>
            <w:noWrap w:val="0"/>
            <w:vAlign w:val="center"/>
          </w:tcPr>
          <w:p w14:paraId="4F78849A">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增加创业校友对创业团队的辅导。近几年，各高校十分关注校友工作，诸如雷军为其母校捐赠13亿。优秀的创业校友可以激发大学生的创业热情，点燃大学生的创业梦想，发挥创业校友的榜样作用，这将助力于创业学院的进一步发展。</w:t>
            </w:r>
          </w:p>
        </w:tc>
        <w:tc>
          <w:tcPr>
            <w:tcW w:w="1275" w:type="dxa"/>
            <w:tcBorders>
              <w:top w:val="single" w:color="000000" w:sz="4" w:space="0"/>
              <w:left w:val="single" w:color="000000" w:sz="4" w:space="0"/>
              <w:bottom w:val="single" w:color="auto" w:sz="4" w:space="0"/>
              <w:right w:val="single" w:color="000000" w:sz="4" w:space="0"/>
            </w:tcBorders>
            <w:noWrap/>
            <w:vAlign w:val="center"/>
          </w:tcPr>
          <w:p w14:paraId="0A4AB096">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26CC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696" w:type="dxa"/>
            <w:tcBorders>
              <w:top w:val="single" w:color="auto" w:sz="4" w:space="0"/>
              <w:left w:val="single" w:color="000000" w:sz="4" w:space="0"/>
              <w:bottom w:val="single" w:color="auto" w:sz="4" w:space="0"/>
              <w:right w:val="single" w:color="000000" w:sz="4" w:space="0"/>
            </w:tcBorders>
            <w:noWrap/>
            <w:vAlign w:val="center"/>
          </w:tcPr>
          <w:p w14:paraId="776330BE">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998" w:type="dxa"/>
            <w:vMerge w:val="continue"/>
            <w:tcBorders>
              <w:left w:val="single" w:color="000000" w:sz="4" w:space="0"/>
              <w:right w:val="single" w:color="000000" w:sz="4" w:space="0"/>
            </w:tcBorders>
            <w:noWrap w:val="0"/>
            <w:vAlign w:val="center"/>
          </w:tcPr>
          <w:p w14:paraId="21259181">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4935" w:type="dxa"/>
            <w:tcBorders>
              <w:top w:val="single" w:color="auto" w:sz="4" w:space="0"/>
              <w:left w:val="single" w:color="000000" w:sz="4" w:space="0"/>
              <w:bottom w:val="single" w:color="auto" w:sz="4" w:space="0"/>
              <w:right w:val="single" w:color="000000" w:sz="4" w:space="0"/>
            </w:tcBorders>
            <w:noWrap w:val="0"/>
            <w:vAlign w:val="center"/>
          </w:tcPr>
          <w:p w14:paraId="1A96A0A2">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利用信息化平台管理创业项目以及创业活动。除了开展线下常态化的创业活动，辅导创业团队，也应鼓励高校打造创新创业管理平台，有利于推动更多大学生将创业科技成果转化为现实生产力。</w:t>
            </w:r>
          </w:p>
        </w:tc>
        <w:tc>
          <w:tcPr>
            <w:tcW w:w="1275" w:type="dxa"/>
            <w:tcBorders>
              <w:top w:val="single" w:color="auto" w:sz="4" w:space="0"/>
              <w:left w:val="single" w:color="000000" w:sz="4" w:space="0"/>
              <w:bottom w:val="single" w:color="auto" w:sz="4" w:space="0"/>
              <w:right w:val="single" w:color="000000" w:sz="4" w:space="0"/>
            </w:tcBorders>
            <w:noWrap/>
            <w:vAlign w:val="center"/>
          </w:tcPr>
          <w:p w14:paraId="4B35517E">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2EE2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696" w:type="dxa"/>
            <w:tcBorders>
              <w:top w:val="single" w:color="auto" w:sz="4" w:space="0"/>
              <w:left w:val="single" w:color="000000" w:sz="4" w:space="0"/>
              <w:bottom w:val="single" w:color="000000" w:sz="4" w:space="0"/>
              <w:right w:val="single" w:color="000000" w:sz="4" w:space="0"/>
            </w:tcBorders>
            <w:noWrap/>
            <w:vAlign w:val="center"/>
          </w:tcPr>
          <w:p w14:paraId="26A90F88">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998" w:type="dxa"/>
            <w:vMerge w:val="continue"/>
            <w:tcBorders>
              <w:left w:val="single" w:color="000000" w:sz="4" w:space="0"/>
              <w:bottom w:val="single" w:color="000000" w:sz="4" w:space="0"/>
              <w:right w:val="single" w:color="000000" w:sz="4" w:space="0"/>
            </w:tcBorders>
            <w:noWrap w:val="0"/>
            <w:vAlign w:val="center"/>
          </w:tcPr>
          <w:p w14:paraId="526150AA">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4935" w:type="dxa"/>
            <w:tcBorders>
              <w:top w:val="single" w:color="auto" w:sz="4" w:space="0"/>
              <w:left w:val="single" w:color="000000" w:sz="4" w:space="0"/>
              <w:bottom w:val="single" w:color="000000" w:sz="4" w:space="0"/>
              <w:right w:val="single" w:color="000000" w:sz="4" w:space="0"/>
            </w:tcBorders>
            <w:noWrap w:val="0"/>
            <w:vAlign w:val="center"/>
          </w:tcPr>
          <w:p w14:paraId="1B78FCF2">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加强对创业培训的考核。为进一步增强大学生的创业能力和就业素质，政府出台了一系列创业培训政策。若创业学院的考核在这一方面有所注重，既促进了高校创业导师队伍的建设，也让更多高校毕业生享受到创业政策的普惠。发挥创业学院培养大学生的创新精神和创业能力的实质性功效。</w:t>
            </w:r>
          </w:p>
        </w:tc>
        <w:tc>
          <w:tcPr>
            <w:tcW w:w="1275" w:type="dxa"/>
            <w:tcBorders>
              <w:top w:val="single" w:color="auto" w:sz="4" w:space="0"/>
              <w:left w:val="single" w:color="000000" w:sz="4" w:space="0"/>
              <w:bottom w:val="single" w:color="000000" w:sz="4" w:space="0"/>
              <w:right w:val="single" w:color="000000" w:sz="4" w:space="0"/>
            </w:tcBorders>
            <w:noWrap/>
            <w:vAlign w:val="center"/>
          </w:tcPr>
          <w:p w14:paraId="7B1C35D4">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4257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4AC0E48">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47EA9428">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武昌工学院</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09819442">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关于资金用途，希望下拨时能够明确用途，告知收款单位须专款专用，用于团队的研发和生产经营（比如：软著，专利的申请和论文的发表费用等）</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0031056">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7488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ED20DA">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33E76CBF">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武汉工程科技</w:t>
            </w:r>
          </w:p>
          <w:p w14:paraId="0292DFF2">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学院</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05272EC0">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将创业学院补贴纳入审计范围，如挪作他用，一经发现，严肃处理</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B51AE7">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7F95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CB7B786">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24D3A7F0">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华中师范大学</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40316CA1">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建议规范台账资料中活动照片的命名，比如时间+活动主题，例：20240512创新创业训练营开班仪式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B1219CE">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5EF5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64CC04D">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0363F14A">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武汉壹零壹品牌管理有限公司</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68AC0B5A">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建议定期举办创业师资培训活动，提升武汉地区高校创业师资队伍的实践指导能力。</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C7DB80C">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r w14:paraId="36B1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1A0E886">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14:paraId="74B83DC6">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武汉市同心梦想菁桐创咖运营管理有限公司</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14:paraId="1FC18EFF">
            <w:pPr>
              <w:keepNext w:val="0"/>
              <w:keepLines w:val="0"/>
              <w:widowControl/>
              <w:suppressLineNumbers w:val="0"/>
              <w:spacing w:line="260" w:lineRule="exact"/>
              <w:ind w:firstLine="480" w:firstLineChars="2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建议将人社部、教育部、团中央等国家、省、市各类创业赛事荣誉均纳入考核范围，而不仅限于人社部门赛事</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3ACF415">
            <w:pPr>
              <w:keepNext w:val="0"/>
              <w:keepLines w:val="0"/>
              <w:widowControl/>
              <w:suppressLineNumbers w:val="0"/>
              <w:spacing w:line="2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建议采纳</w:t>
            </w:r>
          </w:p>
        </w:tc>
      </w:tr>
    </w:tbl>
    <w:p w14:paraId="2E0EB5D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kern w:val="2"/>
          <w:sz w:val="32"/>
          <w:szCs w:val="32"/>
          <w:lang w:val="en-US" w:eastAsia="zh-CN" w:bidi="ar-SA"/>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WM3ZjUxNjU4ZDE1ZTEwZTBmZmU3YTkxZGIwZmYifQ=="/>
  </w:docVars>
  <w:rsids>
    <w:rsidRoot w:val="00000000"/>
    <w:rsid w:val="03C246B5"/>
    <w:rsid w:val="097A26AA"/>
    <w:rsid w:val="09A94B4A"/>
    <w:rsid w:val="0CED6698"/>
    <w:rsid w:val="301C7F93"/>
    <w:rsid w:val="30B67504"/>
    <w:rsid w:val="352E3C7C"/>
    <w:rsid w:val="40BF1B15"/>
    <w:rsid w:val="40C34898"/>
    <w:rsid w:val="52927709"/>
    <w:rsid w:val="55F621C3"/>
    <w:rsid w:val="6316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ESI仿宋-GB2312" w:cs="Times New Roman"/>
      <w:kern w:val="2"/>
      <w:sz w:val="32"/>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仿宋_GB2312" w:hAnsi="Courier New" w:cs="Courier New"/>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863</Characters>
  <Lines>0</Lines>
  <Paragraphs>0</Paragraphs>
  <TotalTime>0</TotalTime>
  <ScaleCrop>false</ScaleCrop>
  <LinksUpToDate>false</LinksUpToDate>
  <CharactersWithSpaces>863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2023-10-31T06:47:00Z</dcterms:created>
  <dc:creator>袁威</dc:creator>
  <cp:lastModifiedBy>袁威</cp:lastModifiedBy>
  <cp:lastPrinted>2024-09-14T00:47:00Z</cp:lastPrinted>
  <dcterms:modified xsi:type="dcterms:W3CDTF">2024-12-12T00:37:17Z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04C89303ACCD49BBB73C83E2A42F6C93_12</vt:lpwstr>
  </property>
</Properties>
</file>